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D7" w:rsidRPr="00075CD7" w:rsidRDefault="00075CD7" w:rsidP="00075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75CD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Telelavoro </w:t>
      </w:r>
      <w:r w:rsidR="0026411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al 31 dicembre 2017.</w:t>
      </w:r>
    </w:p>
    <w:p w:rsidR="00075CD7" w:rsidRP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telelavoro domiciliare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stato introdotto in Regione Toscana nella</w:t>
      </w: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6411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legislatura 2000-2005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l'avvio di una prima fase di sperimentazione iniziata nel 2003 e conclusa nel 2004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75CD7" w:rsidRP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75CD7" w:rsidRPr="00075CD7" w:rsidRDefault="00E04995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considerazione del </w:t>
      </w: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positivo </w:t>
      </w:r>
      <w:r w:rsidR="00075CD7"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esito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della</w:t>
      </w:r>
      <w:r w:rsidR="00075CD7"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sperimentazione</w:t>
      </w:r>
      <w:r w:rsidR="00075CD7"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, è stato stabilito, d'intesa con le rappresentanze sindacali, di</w:t>
      </w:r>
      <w:r w:rsidR="00075CD7"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consolidare e sviluppare tale esperienza</w:t>
      </w:r>
      <w:r w:rsidR="00075CD7"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riconoscendo nel telelavoro domiciliare una </w:t>
      </w:r>
      <w:r w:rsidR="00075CD7"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lavoro</w:t>
      </w:r>
      <w:r w:rsidR="00075CD7"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permette concretamente di migliorare l'organizzazione del lavoro stesso e </w:t>
      </w:r>
      <w:r w:rsidR="002C5E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75CD7"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conciliare i tempi vita-lavoro.</w:t>
      </w:r>
    </w:p>
    <w:p w:rsidR="00075CD7" w:rsidRP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75CD7" w:rsidRP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L'osservazione </w:t>
      </w:r>
      <w:r w:rsidR="00E04995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esperienza </w:t>
      </w:r>
      <w:r w:rsidR="00E04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telelavoro 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 w:rsidR="00E04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corso degl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anni ha  evidenziato alcuni </w:t>
      </w:r>
      <w:r w:rsidR="00E04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elementi sui quali intervenire per risolvere </w:t>
      </w: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criticità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4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per 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assicurare </w:t>
      </w:r>
      <w:r w:rsidR="00E04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una maggiore 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uniformità </w:t>
      </w:r>
      <w:r w:rsidR="00E04995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nell’attuazione de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ll'istituto</w:t>
      </w:r>
      <w:r w:rsidR="00E049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telelavoro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75CD7" w:rsidRP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75CD7" w:rsidRPr="00075CD7" w:rsidRDefault="00C20B4D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075CD7"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075CD7"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problematiche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riscontrate nel corso degli anni fino al 2017, nonché l’</w:t>
      </w:r>
      <w:r w:rsidRPr="00C20B4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aumento esponenziale del numero  di postazioni di telelavoro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hanno indotto l’Amministrazione ad adottare</w:t>
      </w:r>
      <w:r w:rsidR="00075CD7"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un nuovo Disciplinare</w:t>
      </w:r>
      <w:r w:rsidR="00075CD7"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ha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disciplinato</w:t>
      </w:r>
      <w:r w:rsidR="00075CD7"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maniera puntuale le attività non telelavorabili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075CD7"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 le disposizioni relative a tempi e modalità di presentazione delle richieste. </w:t>
      </w:r>
    </w:p>
    <w:p w:rsidR="00075CD7" w:rsidRP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075CD7" w:rsidRPr="009A3214" w:rsidRDefault="009A321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3214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075CD7" w:rsidRPr="009A32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nuovo </w:t>
      </w:r>
      <w:r w:rsidR="00075CD7" w:rsidRPr="009A32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"Disciplinare telelavoro domiciliare per gli uffici del Consiglio Regionale"</w:t>
      </w:r>
      <w:r w:rsidR="0013442C" w:rsidRPr="009A32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A32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è stato adottato con decreto dirigenziale del luglio 2017 </w:t>
      </w:r>
      <w:r w:rsidR="0013442C" w:rsidRPr="009A32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="003366CE" w:rsidRPr="009A32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collegamenti</w:t>
      </w:r>
      <w:r w:rsidRPr="009A321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 w:rsidR="00075CD7" w:rsidRPr="009A321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5" w:history="1">
        <w:r w:rsidRPr="009A3214">
          <w:rPr>
            <w:rStyle w:val="Collegamentoipertestuale"/>
            <w:rFonts w:ascii="Times New Roman" w:hAnsi="Times New Roman" w:cs="Times New Roman"/>
            <w:sz w:val="24"/>
            <w:szCs w:val="24"/>
          </w:rPr>
          <w:t>Decreto 579 del 10 luglio 2017 N</w:t>
        </w:r>
        <w:r w:rsidR="0013442C" w:rsidRPr="009A3214">
          <w:rPr>
            <w:rStyle w:val="Collegamentoipertestuale"/>
            <w:rFonts w:ascii="Times New Roman" w:hAnsi="Times New Roman" w:cs="Times New Roman"/>
            <w:sz w:val="24"/>
            <w:szCs w:val="24"/>
          </w:rPr>
          <w:t>uovo disciplinare telelavoro</w:t>
        </w:r>
        <w:r w:rsidRPr="009A3214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CRT</w:t>
        </w:r>
      </w:hyperlink>
      <w:r w:rsidR="0013442C" w:rsidRPr="009A3214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13442C" w:rsidRPr="009A3214">
          <w:rPr>
            <w:rStyle w:val="Collegamentoipertestuale"/>
            <w:rFonts w:ascii="Times New Roman" w:hAnsi="Times New Roman" w:cs="Times New Roman"/>
            <w:sz w:val="24"/>
            <w:szCs w:val="24"/>
          </w:rPr>
          <w:t>Allegato A al decreto dirigenziale 579 del 10 luglio 2017</w:t>
        </w:r>
        <w:r w:rsidRPr="009A3214">
          <w:rPr>
            <w:rStyle w:val="Collegamentoipertestuale"/>
            <w:rFonts w:ascii="Times New Roman" w:hAnsi="Times New Roman" w:cs="Times New Roman"/>
            <w:sz w:val="24"/>
            <w:szCs w:val="24"/>
          </w:rPr>
          <w:t xml:space="preserve"> (D</w:t>
        </w:r>
        <w:r w:rsidR="0013442C" w:rsidRPr="009A3214">
          <w:rPr>
            <w:rStyle w:val="Collegamentoipertestuale"/>
            <w:rFonts w:ascii="Times New Roman" w:hAnsi="Times New Roman" w:cs="Times New Roman"/>
            <w:sz w:val="24"/>
            <w:szCs w:val="24"/>
          </w:rPr>
          <w:t>isciplinare</w:t>
        </w:r>
      </w:hyperlink>
      <w:r w:rsidRPr="009A321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075CD7" w:rsidRPr="009A3214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Una delle </w:t>
      </w:r>
      <w:r w:rsidR="009A32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principali 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novità</w:t>
      </w:r>
      <w:r w:rsidR="009A32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introdott</w:t>
      </w:r>
      <w:r w:rsidR="009A321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  nuovo Disciplinare è la previsione di un </w:t>
      </w: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avviso biennale per l'attribuzione di un numero massimo di postazioni di telelavoro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 da assegnare in base ad una graduatoria redatta su criteri indicati nello stesso disciplinare. </w:t>
      </w:r>
    </w:p>
    <w:p w:rsidR="009A3214" w:rsidRDefault="009A321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3214" w:rsidRDefault="009A321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conclusione della procedura, tutte le domande di telelavoro presentate risultano soddisfatte</w:t>
      </w:r>
      <w:r w:rsidR="004546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postazioni di telelavoro sono state attivate a far data dall’1 dicembre 2017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A3214" w:rsidRDefault="009A321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dettaglio, i dati sono i seguenti: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Domande relative a posizioni di telelavoro già esistenti: n. </w:t>
      </w:r>
      <w:r w:rsidRPr="009A3214">
        <w:rPr>
          <w:rFonts w:ascii="Times New Roman" w:hAnsi="Times New Roman"/>
          <w:b/>
          <w:bCs/>
          <w:sz w:val="24"/>
          <w:szCs w:val="24"/>
        </w:rPr>
        <w:t>16</w:t>
      </w:r>
      <w:r w:rsidRPr="009A3214">
        <w:rPr>
          <w:rFonts w:ascii="Times New Roman" w:hAnsi="Times New Roman"/>
          <w:sz w:val="24"/>
          <w:szCs w:val="24"/>
        </w:rPr>
        <w:t xml:space="preserve"> (di cui n. 1 per gravi motivi) </w:t>
      </w:r>
      <w:r w:rsidRPr="009A3214">
        <w:rPr>
          <w:rFonts w:ascii="Times New Roman" w:hAnsi="Times New Roman"/>
          <w:b/>
          <w:bCs/>
          <w:sz w:val="24"/>
          <w:szCs w:val="24"/>
        </w:rPr>
        <w:t>[n. 11 Femmine, n. 5 maschi]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Domande relative e nuove posizioni di telelavoro: n. </w:t>
      </w:r>
      <w:r w:rsidRPr="009A3214">
        <w:rPr>
          <w:rFonts w:ascii="Times New Roman" w:hAnsi="Times New Roman"/>
          <w:b/>
          <w:bCs/>
          <w:sz w:val="24"/>
          <w:szCs w:val="24"/>
        </w:rPr>
        <w:t>8</w:t>
      </w:r>
      <w:r w:rsidRPr="009A3214">
        <w:rPr>
          <w:rFonts w:ascii="Times New Roman" w:hAnsi="Times New Roman"/>
          <w:sz w:val="24"/>
          <w:szCs w:val="24"/>
        </w:rPr>
        <w:t xml:space="preserve"> (di cui n. 1 ritirata) </w:t>
      </w:r>
      <w:r w:rsidRPr="009A3214">
        <w:rPr>
          <w:rFonts w:ascii="Times New Roman" w:hAnsi="Times New Roman"/>
          <w:sz w:val="24"/>
          <w:szCs w:val="24"/>
        </w:rPr>
        <w:t xml:space="preserve"> conseguentemente le nuove posizioni richieste sono n. </w:t>
      </w:r>
      <w:r w:rsidRPr="009A3214">
        <w:rPr>
          <w:rFonts w:ascii="Times New Roman" w:hAnsi="Times New Roman"/>
          <w:b/>
          <w:bCs/>
          <w:sz w:val="24"/>
          <w:szCs w:val="24"/>
        </w:rPr>
        <w:t xml:space="preserve">7 </w:t>
      </w:r>
      <w:r w:rsidRPr="009A3214">
        <w:rPr>
          <w:rFonts w:ascii="Times New Roman" w:hAnsi="Times New Roman"/>
          <w:sz w:val="24"/>
          <w:szCs w:val="24"/>
        </w:rPr>
        <w:t xml:space="preserve">) </w:t>
      </w:r>
      <w:r w:rsidRPr="009A3214">
        <w:rPr>
          <w:rFonts w:ascii="Times New Roman" w:hAnsi="Times New Roman"/>
          <w:b/>
          <w:bCs/>
          <w:sz w:val="24"/>
          <w:szCs w:val="24"/>
        </w:rPr>
        <w:t>[n. 6 Femmine, n. 1 maschio]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Totale domande di telelavoro: n. </w:t>
      </w:r>
      <w:r w:rsidRPr="009A3214">
        <w:rPr>
          <w:rFonts w:ascii="Times New Roman" w:hAnsi="Times New Roman"/>
          <w:b/>
          <w:bCs/>
          <w:sz w:val="24"/>
          <w:szCs w:val="24"/>
        </w:rPr>
        <w:t>24</w:t>
      </w:r>
      <w:r w:rsidR="00D81742">
        <w:rPr>
          <w:rFonts w:ascii="Times New Roman" w:hAnsi="Times New Roman"/>
          <w:sz w:val="24"/>
          <w:szCs w:val="24"/>
        </w:rPr>
        <w:t xml:space="preserve"> (di cui n. 1 ritirata </w:t>
      </w:r>
      <w:r w:rsidRPr="009A3214">
        <w:rPr>
          <w:rFonts w:ascii="Times New Roman" w:hAnsi="Times New Roman"/>
          <w:sz w:val="24"/>
          <w:szCs w:val="24"/>
        </w:rPr>
        <w:t xml:space="preserve"> conseguentemente il totale delle domande di telelavoro ammonta a n. </w:t>
      </w:r>
      <w:r w:rsidRPr="009A3214"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Pr="009A3214">
        <w:rPr>
          <w:rFonts w:ascii="Times New Roman" w:hAnsi="Times New Roman"/>
          <w:sz w:val="24"/>
          <w:szCs w:val="24"/>
        </w:rPr>
        <w:t>(di cui n. 1 per gravi motivi)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b/>
          <w:bCs/>
          <w:sz w:val="24"/>
          <w:szCs w:val="24"/>
        </w:rPr>
        <w:t>La graduatoria registra il punteggio massimo pari a 11 ed il punteggio minimo pari a 0 (in sintesi: n. 1 punti 11, n. 1 punti 10, n. 2 punti 9, n. 1 punti 8, n. 5 punti 5, n. 2 punti 4, n. 3 punti 3, n. 3 punti 2, n. 1 punti 1, n. 3 punti 0)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Totale domande di telelavoro accolte: n. </w:t>
      </w:r>
      <w:r w:rsidRPr="009A3214">
        <w:rPr>
          <w:rFonts w:ascii="Times New Roman" w:hAnsi="Times New Roman"/>
          <w:b/>
          <w:bCs/>
          <w:sz w:val="24"/>
          <w:szCs w:val="24"/>
        </w:rPr>
        <w:t>22</w:t>
      </w:r>
      <w:r w:rsidRPr="009A3214">
        <w:rPr>
          <w:rFonts w:ascii="Times New Roman" w:hAnsi="Times New Roman"/>
          <w:sz w:val="24"/>
          <w:szCs w:val="24"/>
        </w:rPr>
        <w:t xml:space="preserve">  (di cui n. 1 per gravi motivi) </w:t>
      </w:r>
      <w:r w:rsidRPr="009A3214">
        <w:rPr>
          <w:rFonts w:ascii="Times New Roman" w:hAnsi="Times New Roman"/>
          <w:b/>
          <w:bCs/>
          <w:sz w:val="24"/>
          <w:szCs w:val="24"/>
        </w:rPr>
        <w:t>[n. 16 Femmine, n. 6 maschi]</w:t>
      </w:r>
      <w:r w:rsidRPr="009A3214">
        <w:rPr>
          <w:rFonts w:ascii="Times New Roman" w:hAnsi="Times New Roman"/>
          <w:sz w:val="24"/>
          <w:szCs w:val="24"/>
        </w:rPr>
        <w:t xml:space="preserve"> </w:t>
      </w:r>
      <w:r w:rsidRPr="009A3214">
        <w:rPr>
          <w:rFonts w:ascii="Times New Roman" w:hAnsi="Times New Roman"/>
          <w:sz w:val="24"/>
          <w:szCs w:val="24"/>
          <w:highlight w:val="yellow"/>
        </w:rPr>
        <w:t>–&gt; (+37,5%)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Totale domande di telelavoro respinte: n. </w:t>
      </w:r>
      <w:r w:rsidRPr="009A3214">
        <w:rPr>
          <w:rFonts w:ascii="Times New Roman" w:hAnsi="Times New Roman"/>
          <w:b/>
          <w:bCs/>
          <w:sz w:val="24"/>
          <w:szCs w:val="24"/>
        </w:rPr>
        <w:t>1</w:t>
      </w:r>
      <w:r w:rsidRPr="009A3214">
        <w:rPr>
          <w:rFonts w:ascii="Times New Roman" w:hAnsi="Times New Roman"/>
          <w:sz w:val="24"/>
          <w:szCs w:val="24"/>
        </w:rPr>
        <w:t xml:space="preserve"> – motivazione: attività non telelavorabile - Punteggio della domanda: </w:t>
      </w:r>
      <w:r w:rsidRPr="009A3214">
        <w:rPr>
          <w:rFonts w:ascii="Times New Roman" w:hAnsi="Times New Roman"/>
          <w:b/>
          <w:bCs/>
          <w:sz w:val="24"/>
          <w:szCs w:val="24"/>
        </w:rPr>
        <w:t>0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lastRenderedPageBreak/>
        <w:t xml:space="preserve">Giornate di telelavoro svolte nell’ambito delle posizioni esistenti: n. </w:t>
      </w:r>
      <w:r w:rsidRPr="009A3214">
        <w:rPr>
          <w:rFonts w:ascii="Times New Roman" w:hAnsi="Times New Roman"/>
          <w:b/>
          <w:bCs/>
          <w:sz w:val="24"/>
          <w:szCs w:val="24"/>
        </w:rPr>
        <w:t>43</w:t>
      </w:r>
      <w:r w:rsidRPr="009A3214">
        <w:rPr>
          <w:rFonts w:ascii="Times New Roman" w:hAnsi="Times New Roman"/>
          <w:sz w:val="24"/>
          <w:szCs w:val="24"/>
        </w:rPr>
        <w:t xml:space="preserve"> 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Giornate di telelavoro richieste nell’ambito delle domande relative a posizioni esistenti: n. </w:t>
      </w:r>
      <w:r w:rsidRPr="009A3214">
        <w:rPr>
          <w:rFonts w:ascii="Times New Roman" w:hAnsi="Times New Roman"/>
          <w:b/>
          <w:bCs/>
          <w:sz w:val="24"/>
          <w:szCs w:val="24"/>
        </w:rPr>
        <w:t>46</w:t>
      </w:r>
      <w:r w:rsidRPr="009A3214">
        <w:rPr>
          <w:rFonts w:ascii="Times New Roman" w:hAnsi="Times New Roman"/>
          <w:sz w:val="24"/>
          <w:szCs w:val="24"/>
        </w:rPr>
        <w:t xml:space="preserve"> 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Giornate di telelavoro riconosciute dai dirigenti nell’ambito delle domande relative a posizioni esistenti: n. </w:t>
      </w:r>
      <w:r w:rsidRPr="009A3214">
        <w:rPr>
          <w:rFonts w:ascii="Times New Roman" w:hAnsi="Times New Roman"/>
          <w:b/>
          <w:bCs/>
          <w:sz w:val="24"/>
          <w:szCs w:val="24"/>
        </w:rPr>
        <w:t>39</w:t>
      </w:r>
      <w:r w:rsidRPr="009A3214">
        <w:rPr>
          <w:rFonts w:ascii="Times New Roman" w:hAnsi="Times New Roman"/>
          <w:sz w:val="24"/>
          <w:szCs w:val="24"/>
        </w:rPr>
        <w:t xml:space="preserve"> 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Giornate di telelavoro richieste nell’ambito delle domande relative a nuove posizioni di telelavoro: n. </w:t>
      </w:r>
      <w:r w:rsidRPr="009A3214">
        <w:rPr>
          <w:rFonts w:ascii="Times New Roman" w:hAnsi="Times New Roman"/>
          <w:b/>
          <w:bCs/>
          <w:sz w:val="24"/>
          <w:szCs w:val="24"/>
        </w:rPr>
        <w:t>18</w:t>
      </w:r>
      <w:r w:rsidRPr="009A3214">
        <w:rPr>
          <w:rFonts w:ascii="Times New Roman" w:hAnsi="Times New Roman"/>
          <w:sz w:val="24"/>
          <w:szCs w:val="24"/>
        </w:rPr>
        <w:t xml:space="preserve"> 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Giornate di telelavoro riconosciute dai dirigenti nell’ambito delle domande relative a nuove posizioni di telelavoro: n. </w:t>
      </w:r>
      <w:r w:rsidRPr="009A3214">
        <w:rPr>
          <w:rFonts w:ascii="Times New Roman" w:hAnsi="Times New Roman"/>
          <w:b/>
          <w:bCs/>
          <w:sz w:val="24"/>
          <w:szCs w:val="24"/>
        </w:rPr>
        <w:t>10</w:t>
      </w:r>
      <w:r w:rsidRPr="009A3214">
        <w:rPr>
          <w:rFonts w:ascii="Times New Roman" w:hAnsi="Times New Roman"/>
          <w:sz w:val="24"/>
          <w:szCs w:val="24"/>
        </w:rPr>
        <w:t xml:space="preserve"> 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Totale giornate di telelavoro riconosciute dai dirigenti nell’ambito delle n. </w:t>
      </w:r>
      <w:r w:rsidRPr="009A3214">
        <w:rPr>
          <w:rFonts w:ascii="Times New Roman" w:hAnsi="Times New Roman"/>
          <w:b/>
          <w:bCs/>
          <w:sz w:val="24"/>
          <w:szCs w:val="24"/>
        </w:rPr>
        <w:t>22</w:t>
      </w:r>
      <w:r w:rsidRPr="009A3214">
        <w:rPr>
          <w:rFonts w:ascii="Times New Roman" w:hAnsi="Times New Roman"/>
          <w:sz w:val="24"/>
          <w:szCs w:val="24"/>
        </w:rPr>
        <w:t xml:space="preserve"> domande di telelavoro: n. </w:t>
      </w:r>
      <w:r w:rsidRPr="009A3214">
        <w:rPr>
          <w:rFonts w:ascii="Times New Roman" w:hAnsi="Times New Roman"/>
          <w:b/>
          <w:bCs/>
          <w:sz w:val="24"/>
          <w:szCs w:val="24"/>
        </w:rPr>
        <w:t xml:space="preserve">49 </w:t>
      </w:r>
      <w:r w:rsidRPr="009A3214">
        <w:rPr>
          <w:rFonts w:ascii="Times New Roman" w:hAnsi="Times New Roman"/>
          <w:sz w:val="24"/>
          <w:szCs w:val="24"/>
          <w:highlight w:val="yellow"/>
        </w:rPr>
        <w:t>–&gt; (+13,95%)</w:t>
      </w:r>
    </w:p>
    <w:p w:rsidR="009A3214" w:rsidRPr="009A3214" w:rsidRDefault="009A3214" w:rsidP="009A3214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3214">
        <w:rPr>
          <w:rFonts w:ascii="Times New Roman" w:hAnsi="Times New Roman"/>
          <w:sz w:val="24"/>
          <w:szCs w:val="24"/>
        </w:rPr>
        <w:t xml:space="preserve">Media giornate di telelavoro per posizione: n. </w:t>
      </w:r>
      <w:r w:rsidRPr="009A3214">
        <w:rPr>
          <w:rFonts w:ascii="Times New Roman" w:hAnsi="Times New Roman"/>
          <w:b/>
          <w:bCs/>
          <w:sz w:val="24"/>
          <w:szCs w:val="24"/>
        </w:rPr>
        <w:t xml:space="preserve">2,23 </w:t>
      </w:r>
    </w:p>
    <w:p w:rsidR="00D81742" w:rsidRDefault="00D81742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5CD7" w:rsidRDefault="00D81742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Successivamente alla data del 1 dicembre 2017 n. 1 dipendente ha rinunciato al telelavoro. </w:t>
      </w:r>
      <w:r w:rsidRPr="00D817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Conseguentemente, alla data del 31 dicembre 2017 le postazioni di telelavoro sono n. 21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D81742" w:rsidRPr="00075CD7" w:rsidRDefault="00D81742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5CD7" w:rsidRP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Monitoraggio e diffusione del telelavoro</w:t>
      </w:r>
    </w:p>
    <w:p w:rsidR="00075CD7" w:rsidRDefault="00075CD7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settore </w:t>
      </w:r>
      <w:r w:rsidRPr="00075C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Organizzazione</w:t>
      </w:r>
      <w:r w:rsidR="00125290" w:rsidRPr="001252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075CD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 </w:t>
      </w:r>
      <w:r w:rsidR="00125290" w:rsidRPr="0012529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Personale. Informatica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252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effettua </w:t>
      </w:r>
      <w:r w:rsidRPr="00075CD7">
        <w:rPr>
          <w:rFonts w:ascii="Times New Roman" w:eastAsia="Times New Roman" w:hAnsi="Times New Roman" w:cs="Times New Roman"/>
          <w:sz w:val="24"/>
          <w:szCs w:val="24"/>
          <w:lang w:eastAsia="it-IT"/>
        </w:rPr>
        <w:t>ogni anno un monitoraggio sul telelavoro accompagnato da una breve relazione che vengono presentatati  alle rappresentanze sindacali dei lavoratori e dei dirigenti.</w:t>
      </w:r>
    </w:p>
    <w:p w:rsidR="007A4874" w:rsidRPr="00075CD7" w:rsidRDefault="007A487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4874" w:rsidRPr="007A4874" w:rsidRDefault="0013442C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A487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 seguito </w:t>
      </w:r>
      <w:r w:rsidR="007A4874" w:rsidRPr="007A487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 evidenziano graficamente i principali dati del telelavoro nel 2017 e cioè: </w:t>
      </w:r>
    </w:p>
    <w:p w:rsidR="007A4874" w:rsidRPr="007A4874" w:rsidRDefault="007A487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874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1: l’evoluzione del telelavoro dal 2004 al 2017;</w:t>
      </w:r>
    </w:p>
    <w:p w:rsidR="007A4874" w:rsidRPr="007A4874" w:rsidRDefault="007A487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874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2: la ripartizione per categorie dei telelavoratori al 31.12.2017;</w:t>
      </w:r>
    </w:p>
    <w:p w:rsidR="007A4874" w:rsidRPr="007A4874" w:rsidRDefault="007A487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874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3: la ripartizione dei telelavoratori per settore e direzione d’area al 31.12.2017;</w:t>
      </w:r>
    </w:p>
    <w:p w:rsidR="007A4874" w:rsidRPr="007A4874" w:rsidRDefault="007A487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874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4: la percentuale di suddivisione per genere dei telelavoratori al 31.12.2017;</w:t>
      </w:r>
    </w:p>
    <w:p w:rsidR="007A4874" w:rsidRPr="007A4874" w:rsidRDefault="007A487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874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5: la suddivisione dei telelavoratori sulla base dei giorni settimanali svolti in telelavoro al 31.12.2017;</w:t>
      </w:r>
    </w:p>
    <w:p w:rsidR="007A4874" w:rsidRDefault="007A4874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4874">
        <w:rPr>
          <w:rFonts w:ascii="Times New Roman" w:eastAsia="Times New Roman" w:hAnsi="Times New Roman" w:cs="Times New Roman"/>
          <w:sz w:val="24"/>
          <w:szCs w:val="24"/>
          <w:lang w:eastAsia="it-IT"/>
        </w:rPr>
        <w:t>Grafico 6: la suddivisione dei telelavoratori per classe di età al 31.12.2017.</w:t>
      </w:r>
    </w:p>
    <w:p w:rsidR="00783CC5" w:rsidRDefault="00783CC5" w:rsidP="00264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A4874" w:rsidRDefault="007A4874" w:rsidP="007A4874">
      <w:pPr>
        <w:spacing w:after="0" w:line="240" w:lineRule="auto"/>
      </w:pPr>
    </w:p>
    <w:p w:rsidR="002C5EE8" w:rsidRDefault="002C5EE8" w:rsidP="007A4874">
      <w:pPr>
        <w:spacing w:after="0" w:line="240" w:lineRule="auto"/>
      </w:pPr>
    </w:p>
    <w:p w:rsidR="002C5EE8" w:rsidRDefault="002C5EE8" w:rsidP="007A4874">
      <w:pPr>
        <w:spacing w:after="0" w:line="240" w:lineRule="auto"/>
      </w:pPr>
    </w:p>
    <w:p w:rsidR="002C5EE8" w:rsidRDefault="002C5EE8" w:rsidP="007A4874">
      <w:pPr>
        <w:spacing w:after="0" w:line="240" w:lineRule="auto"/>
      </w:pPr>
    </w:p>
    <w:p w:rsidR="009A3214" w:rsidRDefault="009A32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42C" w:rsidRDefault="0013442C" w:rsidP="0013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Stato di attuazione del telelavoro al 31.12.2017</w:t>
      </w:r>
    </w:p>
    <w:p w:rsidR="0013442C" w:rsidRPr="0013442C" w:rsidRDefault="0013442C" w:rsidP="0013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Grafico 1: </w:t>
      </w:r>
      <w:r w:rsidRPr="0013442C">
        <w:rPr>
          <w:b/>
          <w:sz w:val="28"/>
          <w:szCs w:val="28"/>
        </w:rPr>
        <w:t>Evoluzione del telelavoro in consiglio regionale dal 2004 al 2017</w:t>
      </w:r>
    </w:p>
    <w:p w:rsidR="0013442C" w:rsidRDefault="0013442C">
      <w:r w:rsidRPr="0013442C">
        <w:rPr>
          <w:noProof/>
          <w:lang w:eastAsia="it-IT"/>
        </w:rPr>
        <w:drawing>
          <wp:inline distT="0" distB="0" distL="0" distR="0">
            <wp:extent cx="8731250" cy="4800600"/>
            <wp:effectExtent l="19050" t="0" r="12700" b="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5EE8" w:rsidRDefault="002C5E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42C" w:rsidRDefault="0013442C" w:rsidP="0013442C">
      <w:pPr>
        <w:jc w:val="center"/>
        <w:rPr>
          <w:b/>
          <w:sz w:val="28"/>
          <w:szCs w:val="28"/>
        </w:rPr>
      </w:pPr>
      <w:r w:rsidRPr="0013442C">
        <w:rPr>
          <w:b/>
          <w:sz w:val="28"/>
          <w:szCs w:val="28"/>
        </w:rPr>
        <w:lastRenderedPageBreak/>
        <w:t>Grafico 2: Personale in telelavoro ripartito per categoria al 31.12.2017</w:t>
      </w:r>
    </w:p>
    <w:p w:rsidR="00BE5E1E" w:rsidRDefault="00BE5E1E" w:rsidP="0013442C">
      <w:pPr>
        <w:jc w:val="center"/>
        <w:rPr>
          <w:b/>
          <w:sz w:val="28"/>
          <w:szCs w:val="28"/>
        </w:rPr>
      </w:pPr>
    </w:p>
    <w:p w:rsidR="00F1084B" w:rsidRDefault="00BD785E" w:rsidP="0013442C">
      <w:pPr>
        <w:jc w:val="center"/>
        <w:rPr>
          <w:b/>
          <w:sz w:val="28"/>
          <w:szCs w:val="28"/>
        </w:rPr>
      </w:pPr>
      <w:r w:rsidRPr="00F1084B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318500" cy="4546600"/>
            <wp:effectExtent l="0" t="0" r="0" b="0"/>
            <wp:docPr id="2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84B" w:rsidRDefault="00F1084B" w:rsidP="0013442C">
      <w:pPr>
        <w:jc w:val="center"/>
        <w:rPr>
          <w:b/>
          <w:sz w:val="28"/>
          <w:szCs w:val="28"/>
        </w:rPr>
      </w:pPr>
    </w:p>
    <w:p w:rsidR="002C5EE8" w:rsidRDefault="002C5E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084B" w:rsidRDefault="00F1084B" w:rsidP="0013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Grafico 3: Personale in telelavoro ripartito per settore e direzione d’area al 31.12.2017</w:t>
      </w:r>
    </w:p>
    <w:p w:rsidR="00F1084B" w:rsidRDefault="00F1084B" w:rsidP="0013442C">
      <w:pPr>
        <w:jc w:val="center"/>
        <w:rPr>
          <w:b/>
          <w:sz w:val="28"/>
          <w:szCs w:val="28"/>
        </w:rPr>
      </w:pPr>
    </w:p>
    <w:p w:rsidR="00F1084B" w:rsidRDefault="00F1084B" w:rsidP="0013442C">
      <w:pPr>
        <w:jc w:val="center"/>
        <w:rPr>
          <w:b/>
          <w:sz w:val="28"/>
          <w:szCs w:val="28"/>
        </w:rPr>
      </w:pPr>
      <w:r w:rsidRPr="00F1084B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242300" cy="4546600"/>
            <wp:effectExtent l="0" t="0" r="0" b="0"/>
            <wp:docPr id="25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084B" w:rsidRDefault="00F1084B" w:rsidP="0013442C">
      <w:pPr>
        <w:jc w:val="center"/>
        <w:rPr>
          <w:b/>
          <w:sz w:val="28"/>
          <w:szCs w:val="28"/>
        </w:rPr>
      </w:pPr>
    </w:p>
    <w:p w:rsidR="002C5EE8" w:rsidRDefault="002C5E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084B" w:rsidRDefault="00F1084B" w:rsidP="00134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Grafico 4: Personale in telelavoro, in percentuale, suddiviso per genere al 31.12.2017</w:t>
      </w:r>
    </w:p>
    <w:p w:rsidR="00F1084B" w:rsidRDefault="00F1084B" w:rsidP="0013442C">
      <w:pPr>
        <w:jc w:val="center"/>
        <w:rPr>
          <w:b/>
          <w:sz w:val="28"/>
          <w:szCs w:val="28"/>
        </w:rPr>
      </w:pPr>
    </w:p>
    <w:p w:rsidR="00F1084B" w:rsidRDefault="00F1084B" w:rsidP="0013442C">
      <w:pPr>
        <w:jc w:val="center"/>
        <w:rPr>
          <w:b/>
          <w:sz w:val="28"/>
          <w:szCs w:val="28"/>
        </w:rPr>
      </w:pPr>
      <w:r w:rsidRPr="00F1084B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591550" cy="5048250"/>
            <wp:effectExtent l="19050" t="0" r="19050" b="0"/>
            <wp:docPr id="4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084B" w:rsidRDefault="002C5EE8" w:rsidP="009A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1084B">
        <w:rPr>
          <w:b/>
          <w:sz w:val="28"/>
          <w:szCs w:val="28"/>
        </w:rPr>
        <w:lastRenderedPageBreak/>
        <w:t xml:space="preserve">Grafico 5: Personale in telelavoro suddiviso per </w:t>
      </w:r>
      <w:proofErr w:type="spellStart"/>
      <w:r w:rsidR="00F1084B">
        <w:rPr>
          <w:b/>
          <w:sz w:val="28"/>
          <w:szCs w:val="28"/>
        </w:rPr>
        <w:t>n°</w:t>
      </w:r>
      <w:proofErr w:type="spellEnd"/>
      <w:r w:rsidR="00F1084B">
        <w:rPr>
          <w:b/>
          <w:sz w:val="28"/>
          <w:szCs w:val="28"/>
        </w:rPr>
        <w:t xml:space="preserve"> giorni in telelavoro al 31.12.2017</w:t>
      </w:r>
    </w:p>
    <w:p w:rsidR="00F1084B" w:rsidRDefault="00F1084B" w:rsidP="0013442C">
      <w:pPr>
        <w:jc w:val="center"/>
        <w:rPr>
          <w:b/>
          <w:sz w:val="28"/>
          <w:szCs w:val="28"/>
        </w:rPr>
      </w:pPr>
      <w:r w:rsidRPr="00F1084B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8648700" cy="5054600"/>
            <wp:effectExtent l="0" t="0" r="0" b="0"/>
            <wp:docPr id="5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084B" w:rsidRDefault="002C5EE8" w:rsidP="009A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1084B">
        <w:rPr>
          <w:b/>
          <w:sz w:val="28"/>
          <w:szCs w:val="28"/>
        </w:rPr>
        <w:lastRenderedPageBreak/>
        <w:t xml:space="preserve">Grafico 6: Personale in telelavoro suddiviso per </w:t>
      </w:r>
      <w:r w:rsidR="007A4874">
        <w:rPr>
          <w:b/>
          <w:sz w:val="28"/>
          <w:szCs w:val="28"/>
        </w:rPr>
        <w:t xml:space="preserve">classi di </w:t>
      </w:r>
      <w:r w:rsidR="00F1084B">
        <w:rPr>
          <w:b/>
          <w:sz w:val="28"/>
          <w:szCs w:val="28"/>
        </w:rPr>
        <w:t>età al 31.12.2017</w:t>
      </w:r>
    </w:p>
    <w:p w:rsidR="00F1084B" w:rsidRPr="0013442C" w:rsidRDefault="00F1084B" w:rsidP="0013442C">
      <w:pPr>
        <w:jc w:val="center"/>
        <w:rPr>
          <w:b/>
          <w:sz w:val="28"/>
          <w:szCs w:val="28"/>
        </w:rPr>
      </w:pPr>
      <w:r w:rsidRPr="00F1084B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9067800" cy="5435600"/>
            <wp:effectExtent l="19050" t="0" r="19050" b="0"/>
            <wp:docPr id="7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F1084B" w:rsidRPr="0013442C" w:rsidSect="009A3214">
      <w:pgSz w:w="16838" w:h="11906" w:orient="landscape"/>
      <w:pgMar w:top="993" w:right="113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820"/>
    <w:multiLevelType w:val="hybridMultilevel"/>
    <w:tmpl w:val="851041C4"/>
    <w:lvl w:ilvl="0" w:tplc="5B4007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5CD7"/>
    <w:rsid w:val="00075CD7"/>
    <w:rsid w:val="00125290"/>
    <w:rsid w:val="0013442C"/>
    <w:rsid w:val="001A4A9D"/>
    <w:rsid w:val="002368B6"/>
    <w:rsid w:val="0026411A"/>
    <w:rsid w:val="00274619"/>
    <w:rsid w:val="002C5EE8"/>
    <w:rsid w:val="003366CE"/>
    <w:rsid w:val="003C2C88"/>
    <w:rsid w:val="00454609"/>
    <w:rsid w:val="00463BB0"/>
    <w:rsid w:val="00492A3D"/>
    <w:rsid w:val="004D3DC0"/>
    <w:rsid w:val="00644FCB"/>
    <w:rsid w:val="006D4769"/>
    <w:rsid w:val="00783CC5"/>
    <w:rsid w:val="007A4874"/>
    <w:rsid w:val="009A3214"/>
    <w:rsid w:val="00AD0EFD"/>
    <w:rsid w:val="00B63CA3"/>
    <w:rsid w:val="00BD785E"/>
    <w:rsid w:val="00BE5E1E"/>
    <w:rsid w:val="00BF4132"/>
    <w:rsid w:val="00C20B4D"/>
    <w:rsid w:val="00CE5E98"/>
    <w:rsid w:val="00D81742"/>
    <w:rsid w:val="00D924CF"/>
    <w:rsid w:val="00E04995"/>
    <w:rsid w:val="00E075D4"/>
    <w:rsid w:val="00E85525"/>
    <w:rsid w:val="00F1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525"/>
  </w:style>
  <w:style w:type="paragraph" w:styleId="Titolo2">
    <w:name w:val="heading 2"/>
    <w:basedOn w:val="Normale"/>
    <w:link w:val="Titolo2Carattere"/>
    <w:uiPriority w:val="9"/>
    <w:qFormat/>
    <w:rsid w:val="00075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5C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075CD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75CD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4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5EE8"/>
    <w:pPr>
      <w:spacing w:after="0" w:line="240" w:lineRule="auto"/>
      <w:ind w:left="720"/>
    </w:pPr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creti.consiglio.regione.toscana.it/VisualizzaFrontespizio.aspx?TIPO=SINGOLO_ALLEGATO&amp;ID_ALLEGATO=69505" TargetMode="External"/><Relationship Id="rId11" Type="http://schemas.openxmlformats.org/officeDocument/2006/relationships/chart" Target="charts/chart5.xml"/><Relationship Id="rId5" Type="http://schemas.openxmlformats.org/officeDocument/2006/relationships/hyperlink" Target="http://decreti.consiglio.regione.toscana.it/VisualizzaFrontespizio.aspx?TIPO=FRONTESPIZIO&amp;ID_ATTO=11705&amp;ID_TIPO_ATTO=4&amp;ESTENSORE=Naldini%20Mario;return%20false;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7\2018-03-Telelavoro-Telelavoro%20Cr%20Situazione%20Attuazione%20Bozza%20Al%2031-12-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7\2018-03-Telelavoro-Telelavoro%20Cr%20Situazione%20Attuazione%20Bozza%20Al%2031-12-2017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7\2018-03-Telelavoro-Telelavoro%20Cr%20Situazione%20Attuazione%20Bozza%20Al%2031-12-2017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7\2018-03-Telelavoro-Telelavoro%20Cr%20Situazione%20Attuazione%20Bozza%20Al%2031-12-2017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7\2018-03-Telelavoro-Telelavoro%20Cr%20Situazione%20Attuazione%20Bozza%20Al%2031-12-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torage\uffpers\Settore%20Personale\Rapporto%20Lavoro\Telelavoro\2017\2018-03-Telelavoro-Telelavoro%20Cr%20Situazione%20Attuazione%20Bozza%20Al%2031-12-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>
        <c:manualLayout>
          <c:layoutTarget val="inner"/>
          <c:xMode val="edge"/>
          <c:yMode val="edge"/>
          <c:x val="0.10278916185286795"/>
          <c:y val="8.5036592699410857E-2"/>
          <c:w val="0.89721083814713254"/>
          <c:h val="0.65337624958685914"/>
        </c:manualLayout>
      </c:layout>
      <c:barChart>
        <c:barDir val="col"/>
        <c:grouping val="clustered"/>
        <c:ser>
          <c:idx val="0"/>
          <c:order val="0"/>
          <c:tx>
            <c:strRef>
              <c:f>Foglio1!$A$4</c:f>
              <c:strCache>
                <c:ptCount val="1"/>
                <c:pt idx="0">
                  <c:v>telelavoratori</c:v>
                </c:pt>
              </c:strCache>
            </c:strRef>
          </c:tx>
          <c:dLbls>
            <c:showVal val="1"/>
          </c:dLbls>
          <c:cat>
            <c:numRef>
              <c:f>Foglio1!$B$2:$O$2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Foglio1!$B$4:$O$4</c:f>
              <c:numCache>
                <c:formatCode>General</c:formatCode>
                <c:ptCount val="1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11</c:v>
                </c:pt>
                <c:pt idx="8">
                  <c:v>12</c:v>
                </c:pt>
                <c:pt idx="9">
                  <c:v>15</c:v>
                </c:pt>
                <c:pt idx="10">
                  <c:v>16</c:v>
                </c:pt>
                <c:pt idx="11">
                  <c:v>15</c:v>
                </c:pt>
                <c:pt idx="12">
                  <c:v>15</c:v>
                </c:pt>
                <c:pt idx="13">
                  <c:v>21</c:v>
                </c:pt>
              </c:numCache>
            </c:numRef>
          </c:val>
        </c:ser>
        <c:ser>
          <c:idx val="1"/>
          <c:order val="1"/>
          <c:tx>
            <c:strRef>
              <c:f>Foglio1!$A$5</c:f>
              <c:strCache>
                <c:ptCount val="1"/>
                <c:pt idx="0">
                  <c:v>donne</c:v>
                </c:pt>
              </c:strCache>
            </c:strRef>
          </c:tx>
          <c:dLbls>
            <c:showVal val="1"/>
          </c:dLbls>
          <c:cat>
            <c:numRef>
              <c:f>Foglio1!$B$2:$O$2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Foglio1!$B$5:$O$5</c:f>
              <c:numCache>
                <c:formatCode>General</c:formatCode>
                <c:ptCount val="14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10</c:v>
                </c:pt>
                <c:pt idx="10">
                  <c:v>12</c:v>
                </c:pt>
                <c:pt idx="11">
                  <c:v>12</c:v>
                </c:pt>
                <c:pt idx="12">
                  <c:v>10</c:v>
                </c:pt>
                <c:pt idx="13">
                  <c:v>16</c:v>
                </c:pt>
              </c:numCache>
            </c:numRef>
          </c:val>
        </c:ser>
        <c:ser>
          <c:idx val="2"/>
          <c:order val="2"/>
          <c:tx>
            <c:strRef>
              <c:f>Foglio1!$A$6</c:f>
              <c:strCache>
                <c:ptCount val="1"/>
                <c:pt idx="0">
                  <c:v>uomini</c:v>
                </c:pt>
              </c:strCache>
            </c:strRef>
          </c:tx>
          <c:dLbls>
            <c:showVal val="1"/>
          </c:dLbls>
          <c:cat>
            <c:numRef>
              <c:f>Foglio1!$B$2:$O$2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Foglio1!$B$6:$O$6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</c:numCache>
            </c:numRef>
          </c:val>
        </c:ser>
        <c:ser>
          <c:idx val="3"/>
          <c:order val="3"/>
          <c:tx>
            <c:strRef>
              <c:f>Foglio1!$A$7</c:f>
              <c:strCache>
                <c:ptCount val="1"/>
                <c:pt idx="0">
                  <c:v>p.o.</c:v>
                </c:pt>
              </c:strCache>
            </c:strRef>
          </c:tx>
          <c:dLbls>
            <c:showVal val="1"/>
          </c:dLbls>
          <c:cat>
            <c:numRef>
              <c:f>Foglio1!$B$2:$O$2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Foglio1!$B$7:$O$7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Foglio1!$A$8</c:f>
              <c:strCache>
                <c:ptCount val="1"/>
                <c:pt idx="0">
                  <c:v>cat. D</c:v>
                </c:pt>
              </c:strCache>
            </c:strRef>
          </c:tx>
          <c:dLbls>
            <c:showVal val="1"/>
          </c:dLbls>
          <c:cat>
            <c:numRef>
              <c:f>Foglio1!$B$2:$O$2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Foglio1!$B$8:$O$8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5</c:v>
                </c:pt>
                <c:pt idx="11">
                  <c:v>5</c:v>
                </c:pt>
                <c:pt idx="12" formatCode="0">
                  <c:v>3</c:v>
                </c:pt>
                <c:pt idx="13">
                  <c:v>3</c:v>
                </c:pt>
              </c:numCache>
            </c:numRef>
          </c:val>
        </c:ser>
        <c:ser>
          <c:idx val="5"/>
          <c:order val="5"/>
          <c:tx>
            <c:strRef>
              <c:f>Foglio1!$A$9</c:f>
              <c:strCache>
                <c:ptCount val="1"/>
                <c:pt idx="0">
                  <c:v>cat. C</c:v>
                </c:pt>
              </c:strCache>
            </c:strRef>
          </c:tx>
          <c:dLbls>
            <c:showVal val="1"/>
          </c:dLbls>
          <c:cat>
            <c:numRef>
              <c:f>Foglio1!$B$2:$O$2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Foglio1!$B$9:$O$9</c:f>
              <c:numCache>
                <c:formatCode>General</c:formatCode>
                <c:ptCount val="1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6</c:v>
                </c:pt>
                <c:pt idx="10">
                  <c:v>7</c:v>
                </c:pt>
                <c:pt idx="11">
                  <c:v>7</c:v>
                </c:pt>
                <c:pt idx="12" formatCode="0">
                  <c:v>8</c:v>
                </c:pt>
                <c:pt idx="13">
                  <c:v>13</c:v>
                </c:pt>
              </c:numCache>
            </c:numRef>
          </c:val>
        </c:ser>
        <c:ser>
          <c:idx val="6"/>
          <c:order val="6"/>
          <c:tx>
            <c:strRef>
              <c:f>Foglio1!$A$10</c:f>
              <c:strCache>
                <c:ptCount val="1"/>
                <c:pt idx="0">
                  <c:v>cat. B</c:v>
                </c:pt>
              </c:strCache>
            </c:strRef>
          </c:tx>
          <c:dLbls>
            <c:showVal val="1"/>
          </c:dLbls>
          <c:cat>
            <c:numRef>
              <c:f>Foglio1!$B$2:$O$2</c:f>
              <c:numCache>
                <c:formatCode>General</c:formatCode>
                <c:ptCount val="14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</c:numCache>
            </c:numRef>
          </c:cat>
          <c:val>
            <c:numRef>
              <c:f>Foglio1!$B$10:$O$10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3</c:v>
                </c:pt>
                <c:pt idx="12" formatCode="0">
                  <c:v>4</c:v>
                </c:pt>
                <c:pt idx="13">
                  <c:v>5</c:v>
                </c:pt>
              </c:numCache>
            </c:numRef>
          </c:val>
        </c:ser>
        <c:axId val="39154816"/>
        <c:axId val="39156352"/>
      </c:barChart>
      <c:catAx>
        <c:axId val="39154816"/>
        <c:scaling>
          <c:orientation val="minMax"/>
        </c:scaling>
        <c:axPos val="b"/>
        <c:numFmt formatCode="General" sourceLinked="1"/>
        <c:majorTickMark val="none"/>
        <c:tickLblPos val="nextTo"/>
        <c:crossAx val="39156352"/>
        <c:crosses val="autoZero"/>
        <c:auto val="1"/>
        <c:lblAlgn val="ctr"/>
        <c:lblOffset val="100"/>
      </c:catAx>
      <c:valAx>
        <c:axId val="39156352"/>
        <c:scaling>
          <c:orientation val="minMax"/>
          <c:max val="21"/>
          <c:min val="0"/>
        </c:scaling>
        <c:axPos val="l"/>
        <c:majorGridlines/>
        <c:numFmt formatCode="General" sourceLinked="1"/>
        <c:majorTickMark val="none"/>
        <c:tickLblPos val="nextTo"/>
        <c:crossAx val="39154816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Foglio4!$B$2</c:f>
              <c:strCache>
                <c:ptCount val="1"/>
                <c:pt idx="0">
                  <c:v>n. postazioni telelavoro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Foglio4!$A$3:$A$5</c:f>
              <c:strCache>
                <c:ptCount val="3"/>
                <c:pt idx="0">
                  <c:v>B</c:v>
                </c:pt>
                <c:pt idx="1">
                  <c:v>C</c:v>
                </c:pt>
                <c:pt idx="2">
                  <c:v>D</c:v>
                </c:pt>
              </c:strCache>
            </c:strRef>
          </c:cat>
          <c:val>
            <c:numRef>
              <c:f>Foglio4!$B$6</c:f>
              <c:numCache>
                <c:formatCode>0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1"/>
          <c:tx>
            <c:strRef>
              <c:f>Foglio4!$A$5</c:f>
              <c:strCache>
                <c:ptCount val="1"/>
                <c:pt idx="0">
                  <c:v>D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Foglio4!$B$5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2"/>
          <c:tx>
            <c:strRef>
              <c:f>Foglio4!$A$4</c:f>
              <c:strCache>
                <c:ptCount val="1"/>
                <c:pt idx="0">
                  <c:v>C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Foglio4!$B$4</c:f>
              <c:numCache>
                <c:formatCode>0</c:formatCode>
                <c:ptCount val="1"/>
                <c:pt idx="0">
                  <c:v>13</c:v>
                </c:pt>
              </c:numCache>
            </c:numRef>
          </c:val>
        </c:ser>
        <c:ser>
          <c:idx val="4"/>
          <c:order val="3"/>
          <c:tx>
            <c:strRef>
              <c:f>Foglio4!$A$3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val>
            <c:numRef>
              <c:f>Foglio4!$B$3</c:f>
              <c:numCache>
                <c:formatCode>0</c:formatCode>
                <c:ptCount val="1"/>
                <c:pt idx="0">
                  <c:v>5</c:v>
                </c:pt>
              </c:numCache>
            </c:numRef>
          </c:val>
        </c:ser>
        <c:dLbls>
          <c:showVal val="1"/>
        </c:dLbls>
        <c:overlap val="-25"/>
        <c:axId val="134107904"/>
        <c:axId val="134109440"/>
      </c:barChart>
      <c:catAx>
        <c:axId val="134107904"/>
        <c:scaling>
          <c:orientation val="minMax"/>
        </c:scaling>
        <c:axPos val="b"/>
        <c:majorTickMark val="none"/>
        <c:tickLblPos val="none"/>
        <c:crossAx val="134109440"/>
        <c:crosses val="autoZero"/>
        <c:auto val="1"/>
        <c:lblAlgn val="ctr"/>
        <c:lblOffset val="100"/>
      </c:catAx>
      <c:valAx>
        <c:axId val="134109440"/>
        <c:scaling>
          <c:orientation val="minMax"/>
        </c:scaling>
        <c:delete val="1"/>
        <c:axPos val="l"/>
        <c:numFmt formatCode="0" sourceLinked="1"/>
        <c:majorTickMark val="none"/>
        <c:tickLblPos val="none"/>
        <c:crossAx val="134107904"/>
        <c:crosses val="autoZero"/>
        <c:crossBetween val="between"/>
        <c:minorUnit val="1"/>
      </c:valAx>
      <c:spPr>
        <a:solidFill>
          <a:srgbClr val="C0C0C0"/>
        </a:solidFill>
        <a:ln w="12700">
          <a:solidFill>
            <a:srgbClr val="C0C0C0"/>
          </a:solidFill>
          <a:prstDash val="solid"/>
        </a:ln>
      </c:spPr>
    </c:plotArea>
    <c:legend>
      <c:legendPos val="t"/>
      <c:layout/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>
        <c:manualLayout>
          <c:layoutTarget val="inner"/>
          <c:xMode val="edge"/>
          <c:yMode val="edge"/>
          <c:x val="0.47707687004482069"/>
          <c:y val="4.5762711864408084E-2"/>
          <c:w val="0.51085832471560666"/>
          <c:h val="0.95084745762713296"/>
        </c:manualLayout>
      </c:layout>
      <c:barChart>
        <c:barDir val="bar"/>
        <c:grouping val="clustered"/>
        <c:ser>
          <c:idx val="0"/>
          <c:order val="0"/>
          <c:tx>
            <c:strRef>
              <c:f>Foglio5!$A$5</c:f>
              <c:strCache>
                <c:ptCount val="1"/>
                <c:pt idx="0">
                  <c:v>telelavoratori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Pos val="ctr"/>
            <c:showVal val="1"/>
          </c:dLbls>
          <c:cat>
            <c:strRef>
              <c:f>Foglio5!$C$4:$P$4</c:f>
              <c:strCache>
                <c:ptCount val="14"/>
                <c:pt idx="0">
                  <c:v>Ufficio stampa</c:v>
                </c:pt>
                <c:pt idx="1">
                  <c:v>Settore Assistenza generale alle Commissioni consiliari.</c:v>
                </c:pt>
                <c:pt idx="2">
                  <c:v>Direzione di Area Assistenza istituzionale</c:v>
                </c:pt>
                <c:pt idx="3">
                  <c:v>Settore Assistenza giuridica e legislativa</c:v>
                </c:pt>
                <c:pt idx="4">
                  <c:v>Settore Bilancio e finanze</c:v>
                </c:pt>
                <c:pt idx="6">
                  <c:v>Settore Analisi di fattibilità e per la valutazione delle politiche. Assistenza generale al Corecom, alla CPO e all’Autorità per la partecipazione</c:v>
                </c:pt>
                <c:pt idx="7">
                  <c:v>Settore Assistenza agli organismi di garanzia</c:v>
                </c:pt>
                <c:pt idx="8">
                  <c:v>Settore Biblioteca e documentazione. Archivio e protocollo. Comunicazione, editoria, URP e sito web. Tipografia</c:v>
                </c:pt>
                <c:pt idx="9">
                  <c:v>Settore Organizzazione e personale. Informatica</c:v>
                </c:pt>
                <c:pt idx="10">
                  <c:v>Settore Provveditorato, gare, contratti e manutenzione sedi.</c:v>
                </c:pt>
                <c:pt idx="11">
                  <c:v>Settore Rappresentanza e relazioni istituzionali ed esterne. Servizi esterni, di supporto e logistica</c:v>
                </c:pt>
                <c:pt idx="12">
                  <c:v>Settore Assistenza generale alla Commissione di controllo, al CdAL, alla CoPAS e al Parlamento degli studenti</c:v>
                </c:pt>
                <c:pt idx="13">
                  <c:v>Totali</c:v>
                </c:pt>
              </c:strCache>
            </c:strRef>
          </c:cat>
          <c:val>
            <c:numRef>
              <c:f>Foglio5!$C$7:$P$7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5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21</c:v>
                </c:pt>
              </c:numCache>
            </c:numRef>
          </c:val>
        </c:ser>
        <c:gapWidth val="31"/>
        <c:axId val="134145920"/>
        <c:axId val="134147456"/>
      </c:barChart>
      <c:catAx>
        <c:axId val="13414592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993300"/>
            </a:solidFill>
            <a:prstDash val="solid"/>
          </a:ln>
        </c:spPr>
        <c:txPr>
          <a:bodyPr rot="0" vert="horz"/>
          <a:lstStyle/>
          <a:p>
            <a:pPr rtl="0">
              <a:defRPr sz="875" b="1" i="0" u="none" strike="noStrike" baseline="30000">
                <a:solidFill>
                  <a:srgbClr val="8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34147456"/>
        <c:crosses val="autoZero"/>
        <c:auto val="1"/>
        <c:lblAlgn val="ctr"/>
        <c:lblOffset val="100"/>
        <c:tickLblSkip val="1"/>
        <c:tickMarkSkip val="1"/>
      </c:catAx>
      <c:valAx>
        <c:axId val="134147456"/>
        <c:scaling>
          <c:orientation val="minMax"/>
        </c:scaling>
        <c:delete val="1"/>
        <c:axPos val="t"/>
        <c:numFmt formatCode="General" sourceLinked="1"/>
        <c:tickLblPos val="none"/>
        <c:crossAx val="134145920"/>
        <c:crosses val="max"/>
        <c:crossBetween val="between"/>
        <c:majorUnit val="1"/>
        <c:minorUnit val="1"/>
      </c:valAx>
      <c:spPr>
        <a:pattFill prst="pct5">
          <a:fgClr>
            <a:srgbClr val="C0C0C0"/>
          </a:fgClr>
          <a:bgClr>
            <a:srgbClr val="FFFFFF"/>
          </a:bgClr>
        </a:pattFill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16787314719063"/>
          <c:y val="0.86949152542372965"/>
          <c:w val="0.14064115822130299"/>
          <c:h val="7.0056497175142785E-2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6192727932249823"/>
          <c:y val="0.20931158008055389"/>
          <c:w val="0.61081758796377661"/>
          <c:h val="0.73305691627256275"/>
        </c:manualLayout>
      </c:layout>
      <c:pie3DChart>
        <c:varyColors val="1"/>
        <c:ser>
          <c:idx val="0"/>
          <c:order val="0"/>
          <c:spPr>
            <a:gradFill flip="none" rotWithShape="1">
              <a:gsLst>
                <a:gs pos="0">
                  <a:srgbClr val="FC9FCB"/>
                </a:gs>
                <a:gs pos="100000">
                  <a:schemeClr val="accent6">
                    <a:lumMod val="40000"/>
                    <a:lumOff val="60000"/>
                  </a:schemeClr>
                </a:gs>
                <a:gs pos="100000">
                  <a:srgbClr val="F8B049"/>
                </a:gs>
                <a:gs pos="100000">
                  <a:srgbClr val="FEE7F2"/>
                </a:gs>
                <a:gs pos="100000">
                  <a:srgbClr val="F952A0"/>
                </a:gs>
                <a:gs pos="100000">
                  <a:srgbClr val="C50849"/>
                </a:gs>
                <a:gs pos="100000">
                  <a:srgbClr val="B43E85"/>
                </a:gs>
                <a:gs pos="100000">
                  <a:srgbClr val="F8B049"/>
                </a:gs>
              </a:gsLst>
              <a:path path="circle">
                <a:fillToRect l="100000" t="100000"/>
              </a:path>
              <a:tileRect r="-100000" b="-100000"/>
            </a:gradFill>
          </c:spPr>
          <c:explosion val="25"/>
          <c:dPt>
            <c:idx val="0"/>
            <c:spPr>
              <a:gradFill flip="none" rotWithShape="1">
                <a:gsLst>
                  <a:gs pos="0">
                    <a:srgbClr val="FF66CC"/>
                  </a:gs>
                  <a:gs pos="100000">
                    <a:srgbClr val="FFCC99"/>
                  </a:gs>
                  <a:gs pos="100000">
                    <a:srgbClr val="F8B049"/>
                  </a:gs>
                  <a:gs pos="100000">
                    <a:srgbClr val="FEE7F2"/>
                  </a:gs>
                  <a:gs pos="100000">
                    <a:srgbClr val="F952A0"/>
                  </a:gs>
                  <a:gs pos="100000">
                    <a:srgbClr val="C50849"/>
                  </a:gs>
                  <a:gs pos="100000">
                    <a:srgbClr val="B43E85"/>
                  </a:gs>
                  <a:gs pos="100000">
                    <a:srgbClr val="F8B049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</c:dPt>
          <c:dPt>
            <c:idx val="1"/>
            <c:spPr>
              <a:gradFill flip="none" rotWithShape="1"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100000">
                    <a:schemeClr val="accent3">
                      <a:lumMod val="20000"/>
                      <a:lumOff val="80000"/>
                    </a:schemeClr>
                  </a:gs>
                  <a:gs pos="100000">
                    <a:srgbClr val="F8B049"/>
                  </a:gs>
                  <a:gs pos="100000">
                    <a:srgbClr val="FEE7F2"/>
                  </a:gs>
                  <a:gs pos="100000">
                    <a:srgbClr val="F952A0"/>
                  </a:gs>
                  <a:gs pos="100000">
                    <a:srgbClr val="C50849"/>
                  </a:gs>
                  <a:gs pos="100000">
                    <a:srgbClr val="B43E85"/>
                  </a:gs>
                  <a:gs pos="100000">
                    <a:srgbClr val="F8B049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76,19</a:t>
                    </a:r>
                  </a:p>
                </c:rich>
              </c:tx>
              <c:showVal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23,81</a:t>
                    </a:r>
                  </a:p>
                </c:rich>
              </c:tx>
              <c:showVal val="1"/>
              <c:showPercent val="1"/>
            </c:dLbl>
            <c:txPr>
              <a:bodyPr/>
              <a:lstStyle/>
              <a:p>
                <a:pPr>
                  <a:defRPr sz="2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it-IT"/>
              </a:p>
            </c:txPr>
            <c:showVal val="1"/>
            <c:showPercent val="1"/>
            <c:showLeaderLines val="1"/>
          </c:dLbls>
          <c:cat>
            <c:strRef>
              <c:f>Foglio2!$A$7:$A$8</c:f>
              <c:strCache>
                <c:ptCount val="2"/>
                <c:pt idx="0">
                  <c:v> donne %</c:v>
                </c:pt>
                <c:pt idx="1">
                  <c:v> uomini %</c:v>
                </c:pt>
              </c:strCache>
            </c:strRef>
          </c:cat>
          <c:val>
            <c:numRef>
              <c:f>Foglio2!$B$7:$B$8</c:f>
              <c:numCache>
                <c:formatCode>0.00</c:formatCode>
                <c:ptCount val="2"/>
                <c:pt idx="0">
                  <c:v>76.190476190475849</c:v>
                </c:pt>
                <c:pt idx="1">
                  <c:v>23.809523809523721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793599795797201"/>
          <c:y val="0.33322523317205555"/>
          <c:w val="0.1727616764606327"/>
          <c:h val="0.22305214319379771"/>
        </c:manualLayout>
      </c:layout>
      <c:spPr>
        <a:gradFill>
          <a:gsLst>
            <a:gs pos="0">
              <a:schemeClr val="tx2">
                <a:lumMod val="60000"/>
                <a:lumOff val="40000"/>
              </a:schemeClr>
            </a:gs>
            <a:gs pos="100000">
              <a:schemeClr val="accent3">
                <a:lumMod val="20000"/>
                <a:lumOff val="80000"/>
              </a:schemeClr>
            </a:gs>
            <a:gs pos="100000">
              <a:srgbClr val="F8B049"/>
            </a:gs>
            <a:gs pos="100000">
              <a:srgbClr val="FEE7F2"/>
            </a:gs>
            <a:gs pos="100000">
              <a:srgbClr val="F952A0"/>
            </a:gs>
            <a:gs pos="100000">
              <a:srgbClr val="C50849"/>
            </a:gs>
            <a:gs pos="100000">
              <a:srgbClr val="B43E85"/>
            </a:gs>
            <a:gs pos="100000">
              <a:srgbClr val="F8B049"/>
            </a:gs>
          </a:gsLst>
          <a:path path="circle">
            <a:fillToRect l="100000" t="100000"/>
          </a:path>
        </a:gradFill>
      </c:spPr>
      <c:txPr>
        <a:bodyPr/>
        <a:lstStyle/>
        <a:p>
          <a:pPr>
            <a:defRPr sz="18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it-IT"/>
        </a:p>
      </c:txPr>
    </c:legend>
    <c:plotVisOnly val="1"/>
    <c:dispBlanksAs val="zero"/>
  </c:chart>
  <c:spPr>
    <a:gradFill flip="none" rotWithShape="1">
      <a:gsLst>
        <a:gs pos="0">
          <a:srgbClr val="FFFFCC"/>
        </a:gs>
        <a:gs pos="100000">
          <a:srgbClr val="CCFF99"/>
        </a:gs>
        <a:gs pos="100000">
          <a:srgbClr val="F8B049"/>
        </a:gs>
        <a:gs pos="100000">
          <a:srgbClr val="FEE7F2"/>
        </a:gs>
        <a:gs pos="100000">
          <a:srgbClr val="F952A0"/>
        </a:gs>
        <a:gs pos="100000">
          <a:srgbClr val="C50849"/>
        </a:gs>
        <a:gs pos="100000">
          <a:srgbClr val="B43E85"/>
        </a:gs>
        <a:gs pos="100000">
          <a:srgbClr val="F8B049"/>
        </a:gs>
      </a:gsLst>
      <a:lin ang="2700000" scaled="1"/>
      <a:tileRect/>
    </a:gra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6887280248190291E-2"/>
          <c:y val="9.3220338983053874E-2"/>
          <c:w val="0.96295126152709265"/>
          <c:h val="0.84124293785311566"/>
        </c:manualLayout>
      </c:layout>
      <c:bar3DChart>
        <c:barDir val="col"/>
        <c:grouping val="clustered"/>
        <c:ser>
          <c:idx val="0"/>
          <c:order val="0"/>
          <c:tx>
            <c:strRef>
              <c:f>Foglio3!$A$2</c:f>
              <c:strCache>
                <c:ptCount val="1"/>
                <c:pt idx="0">
                  <c:v>giorni in telelavoro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4106389535316538E-4"/>
                  <c:y val="6.5409338802709535E-2"/>
                </c:manualLayout>
              </c:layout>
              <c:showVal val="1"/>
            </c:dLbl>
            <c:dLbl>
              <c:idx val="1"/>
              <c:layout>
                <c:manualLayout>
                  <c:x val="1.0971553657007505E-3"/>
                  <c:y val="0.15537617678029791"/>
                </c:manualLayout>
              </c:layout>
              <c:showVal val="1"/>
            </c:dLbl>
            <c:dLbl>
              <c:idx val="2"/>
              <c:layout>
                <c:manualLayout>
                  <c:x val="1.0115081768625113E-3"/>
                  <c:y val="0.25215993210429533"/>
                </c:manualLayout>
              </c:layout>
              <c:showVal val="1"/>
            </c:dLbl>
            <c:dLbl>
              <c:idx val="3"/>
              <c:layout>
                <c:manualLayout>
                  <c:x val="-2.180921716769224E-3"/>
                  <c:y val="0.35173149763465267"/>
                </c:manualLayout>
              </c:layout>
              <c:showVal val="1"/>
            </c:dLbl>
            <c:dLbl>
              <c:idx val="4"/>
              <c:layout>
                <c:manualLayout>
                  <c:x val="-3.0160349389524777E-3"/>
                  <c:y val="0.4528558630769958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cat>
            <c:strRef>
              <c:f>Foglio3!$A$2:$B$2</c:f>
              <c:strCache>
                <c:ptCount val="2"/>
                <c:pt idx="0">
                  <c:v>giorni in telelavoro</c:v>
                </c:pt>
                <c:pt idx="1">
                  <c:v>telelavoratori</c:v>
                </c:pt>
              </c:strCache>
            </c:strRef>
          </c:cat>
          <c:val>
            <c:numRef>
              <c:f>Foglio3!$A$3:$A$7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Foglio3!$B$2</c:f>
              <c:strCache>
                <c:ptCount val="1"/>
                <c:pt idx="0">
                  <c:v>telelavoratori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3.7372352747404715E-4"/>
                  <c:y val="0.35685919499583607"/>
                </c:manualLayout>
              </c:layout>
              <c:showVal val="1"/>
            </c:dLbl>
            <c:dLbl>
              <c:idx val="1"/>
              <c:layout>
                <c:manualLayout>
                  <c:x val="-1.0509313866131109E-4"/>
                  <c:y val="0.74372703412073682"/>
                </c:manualLayout>
              </c:layout>
              <c:showVal val="1"/>
            </c:dLbl>
            <c:dLbl>
              <c:idx val="2"/>
              <c:layout>
                <c:manualLayout>
                  <c:x val="1.5121085572805464E-4"/>
                  <c:y val="0.54902934288902505"/>
                </c:manualLayout>
              </c:layout>
              <c:showVal val="1"/>
            </c:dLbl>
            <c:dLbl>
              <c:idx val="3"/>
              <c:layout>
                <c:manualLayout>
                  <c:x val="4.074085880965284E-4"/>
                  <c:y val="0.15281751457714543"/>
                </c:manualLayout>
              </c:layout>
              <c:showVal val="1"/>
            </c:dLbl>
            <c:dLbl>
              <c:idx val="4"/>
              <c:layout>
                <c:manualLayout>
                  <c:x val="-2.8800747732620669E-5"/>
                  <c:y val="5.93930334979320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endParaRPr lang="en-US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cat>
            <c:strRef>
              <c:f>Foglio3!$A$2:$B$2</c:f>
              <c:strCache>
                <c:ptCount val="2"/>
                <c:pt idx="0">
                  <c:v>giorni in telelavoro</c:v>
                </c:pt>
                <c:pt idx="1">
                  <c:v>telelavoratori</c:v>
                </c:pt>
              </c:strCache>
            </c:strRef>
          </c:cat>
          <c:val>
            <c:numRef>
              <c:f>Foglio3!$B$3:$B$7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hape val="box"/>
        <c:axId val="134483328"/>
        <c:axId val="134493312"/>
        <c:axId val="0"/>
      </c:bar3DChart>
      <c:catAx>
        <c:axId val="134483328"/>
        <c:scaling>
          <c:orientation val="minMax"/>
        </c:scaling>
        <c:delete val="1"/>
        <c:axPos val="b"/>
        <c:tickLblPos val="none"/>
        <c:crossAx val="134493312"/>
        <c:crosses val="autoZero"/>
        <c:auto val="1"/>
        <c:lblAlgn val="ctr"/>
        <c:lblOffset val="100"/>
      </c:catAx>
      <c:valAx>
        <c:axId val="134493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34483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0243480434510905"/>
          <c:y val="9.7740112994350287E-2"/>
          <c:w val="0.16823788330806491"/>
          <c:h val="9.2655367231640945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plotArea>
      <c:layout>
        <c:manualLayout>
          <c:layoutTarget val="inner"/>
          <c:xMode val="edge"/>
          <c:yMode val="edge"/>
          <c:x val="5.1201724139690423E-2"/>
          <c:y val="0.12191684284707542"/>
          <c:w val="0.93556328969850555"/>
          <c:h val="0.83932346723044393"/>
        </c:manualLayout>
      </c:layout>
      <c:barChart>
        <c:barDir val="col"/>
        <c:grouping val="clustered"/>
        <c:ser>
          <c:idx val="0"/>
          <c:order val="0"/>
          <c:tx>
            <c:strRef>
              <c:f>Foglio6!$K$2</c:f>
              <c:strCache>
                <c:ptCount val="1"/>
                <c:pt idx="0">
                  <c:v>meno di 25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chemeClr val="bg2">
                  <a:lumMod val="50000"/>
                </a:schemeClr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4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it-IT"/>
              </a:p>
            </c:txPr>
            <c:showVal val="1"/>
          </c:dLbls>
          <c:val>
            <c:numRef>
              <c:f>Foglio6!$L$2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Foglio6!$K$3</c:f>
              <c:strCache>
                <c:ptCount val="1"/>
                <c:pt idx="0">
                  <c:v>25-34 </c:v>
                </c:pt>
              </c:strCache>
            </c:strRef>
          </c:tx>
          <c:val>
            <c:numRef>
              <c:f>Foglio6!$L$3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Foglio6!$K$4</c:f>
              <c:strCache>
                <c:ptCount val="1"/>
                <c:pt idx="0">
                  <c:v>35-44</c:v>
                </c:pt>
              </c:strCache>
            </c:strRef>
          </c:tx>
          <c:dLbls>
            <c:showVal val="1"/>
          </c:dLbls>
          <c:val>
            <c:numRef>
              <c:f>Foglio6!$L$4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Foglio6!$K$5</c:f>
              <c:strCache>
                <c:ptCount val="1"/>
                <c:pt idx="0">
                  <c:v>45-54</c:v>
                </c:pt>
              </c:strCache>
            </c:strRef>
          </c:tx>
          <c:dLbls>
            <c:showVal val="1"/>
          </c:dLbls>
          <c:val>
            <c:numRef>
              <c:f>Foglio6!$L$5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Foglio6!$K$6</c:f>
              <c:strCache>
                <c:ptCount val="1"/>
                <c:pt idx="0">
                  <c:v>55-59</c:v>
                </c:pt>
              </c:strCache>
            </c:strRef>
          </c:tx>
          <c:dLbls>
            <c:showVal val="1"/>
          </c:dLbls>
          <c:val>
            <c:numRef>
              <c:f>Foglio6!$L$6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Foglio6!$K$7</c:f>
              <c:strCache>
                <c:ptCount val="1"/>
                <c:pt idx="0">
                  <c:v>oltre 59</c:v>
                </c:pt>
              </c:strCache>
            </c:strRef>
          </c:tx>
          <c:dLbls>
            <c:showVal val="1"/>
          </c:dLbls>
          <c:val>
            <c:numRef>
              <c:f>Foglio6!$L$7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gapWidth val="100"/>
        <c:axId val="132516096"/>
        <c:axId val="132530176"/>
      </c:barChart>
      <c:catAx>
        <c:axId val="132516096"/>
        <c:scaling>
          <c:orientation val="minMax"/>
        </c:scaling>
        <c:delete val="1"/>
        <c:axPos val="b"/>
        <c:numFmt formatCode="General" sourceLinked="1"/>
        <c:tickLblPos val="none"/>
        <c:crossAx val="132530176"/>
        <c:crosses val="autoZero"/>
        <c:auto val="1"/>
        <c:lblAlgn val="ctr"/>
        <c:lblOffset val="100"/>
      </c:catAx>
      <c:valAx>
        <c:axId val="132530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it-IT"/>
          </a:p>
        </c:txPr>
        <c:crossAx val="132516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004935011866065"/>
          <c:y val="0.16175800605569471"/>
          <c:w val="0.12446682409212972"/>
          <c:h val="0.3633593580929233"/>
        </c:manualLayout>
      </c:layout>
      <c:spPr>
        <a:solidFill>
          <a:schemeClr val="bg1">
            <a:lumMod val="85000"/>
          </a:schemeClr>
        </a:solidFill>
        <a:ln w="3175">
          <a:noFill/>
          <a:prstDash val="solid"/>
        </a:ln>
      </c:spPr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it-IT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4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it-IT"/>
    </a:p>
  </c:tx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8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cp:lastPrinted>2018-04-03T16:10:00Z</cp:lastPrinted>
  <dcterms:created xsi:type="dcterms:W3CDTF">2018-03-29T08:39:00Z</dcterms:created>
  <dcterms:modified xsi:type="dcterms:W3CDTF">2018-04-03T16:16:00Z</dcterms:modified>
</cp:coreProperties>
</file>